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E2F" w:rsidRDefault="00D73E2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D73E2F" w:rsidRDefault="00D73E2F">
      <w:pPr>
        <w:pStyle w:val="ConsPlusNormal"/>
        <w:jc w:val="both"/>
        <w:outlineLvl w:val="0"/>
      </w:pPr>
    </w:p>
    <w:p w:rsidR="00D73E2F" w:rsidRDefault="00D73E2F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D73E2F" w:rsidRDefault="00D73E2F">
      <w:pPr>
        <w:pStyle w:val="ConsPlusNormal"/>
        <w:spacing w:before="220"/>
        <w:jc w:val="both"/>
      </w:pPr>
      <w:r>
        <w:t>Республики Беларусь 19 сентября 2016 г. N 5/42615</w:t>
      </w:r>
    </w:p>
    <w:p w:rsidR="00D73E2F" w:rsidRDefault="00D73E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73E2F" w:rsidRDefault="00D73E2F">
      <w:pPr>
        <w:pStyle w:val="ConsPlusNormal"/>
      </w:pPr>
    </w:p>
    <w:p w:rsidR="00D73E2F" w:rsidRDefault="00D73E2F">
      <w:pPr>
        <w:pStyle w:val="ConsPlusTitle"/>
        <w:jc w:val="center"/>
      </w:pPr>
      <w:r>
        <w:t>ПОСТАНОВЛЕНИЕ СОВЕТА МИНИСТРОВ РЕСПУБЛИКИ БЕЛАРУСЬ</w:t>
      </w:r>
    </w:p>
    <w:p w:rsidR="00D73E2F" w:rsidRDefault="00D73E2F">
      <w:pPr>
        <w:pStyle w:val="ConsPlusTitle"/>
        <w:jc w:val="center"/>
      </w:pPr>
      <w:r>
        <w:t>15 сентября 2016 г. N 722</w:t>
      </w:r>
    </w:p>
    <w:p w:rsidR="00D73E2F" w:rsidRDefault="00D73E2F">
      <w:pPr>
        <w:pStyle w:val="ConsPlusTitle"/>
        <w:jc w:val="center"/>
      </w:pPr>
    </w:p>
    <w:p w:rsidR="00D73E2F" w:rsidRDefault="00D73E2F">
      <w:pPr>
        <w:pStyle w:val="ConsPlusTitle"/>
        <w:jc w:val="center"/>
      </w:pPr>
      <w:r>
        <w:t>О ПОБЕДИТЕЛЯХ НАЦИОНАЛЬНОГО КОНКУРСА "ПРЕДПРИНИМАТЕЛЬ ГОДА"</w:t>
      </w:r>
    </w:p>
    <w:p w:rsidR="00D73E2F" w:rsidRDefault="00D73E2F">
      <w:pPr>
        <w:pStyle w:val="ConsPlusNormal"/>
      </w:pPr>
    </w:p>
    <w:p w:rsidR="00D73E2F" w:rsidRDefault="00D73E2F">
      <w:pPr>
        <w:pStyle w:val="ConsPlusNormal"/>
        <w:ind w:firstLine="540"/>
        <w:jc w:val="both"/>
      </w:pPr>
      <w:r>
        <w:t>По результатам проведения Национального конкурса "Предприниматель года" в 2016 году Совет Министров Республики Беларусь ПОСТАНОВЛЯЕТ: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Определить победителями Национального конкурса "Предприниматель года":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в номинации "Успешный старт":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индивидуального предпринимателя Милюшкевича Юрия Станиславовича, Гродненская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"Вахавяк Плюс", Гомельская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"Композитная Компания", Брестская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"Оптифлора", Минская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"ПДЕ-АвтоСнаб", г. Минск;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частное унитарное предприятие по оказанию услуг "Могилевская автомобильная компания", г. Могилев;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частное унитарное предприятие по оказанию услуг "Хэппи Стаил", г. Витебск;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в номинации "Стабильный успех":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закрытое акционерное общество "Партнер и К", Гомельская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иностранное производственное унитарное предприятие "ВИК - здоровье животных", г. Витебск;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"ЛидаТехмаш", Гродненская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"РЕЛУИ БЕЛ", г. Минск;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производственное частное унитарное предприятие "Виктория", Брестская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унитарное частное производственное предприятие "КУВО", г. Могилев;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в номинации "Эффективный бизнес в сфере производства":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иностранное общество с ограниченной ответственностью "Белфидагро", Могилевская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иностранное общество с ограниченной ответственностью "ЛИНПАК Пекеджинг Ист", Витебская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lastRenderedPageBreak/>
        <w:t>общество с ограниченной ответственностью "Фанипольский завод измерительных приборов "Энергомера", Минская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открытое акционерное общество "Туровский молочный комбинат", Гомельская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совместное закрытое акционерное общество "Респекта", г. Минск;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совместное общество с ограниченной ответственностью "БТКВосток", Гродненская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частное производственное унитарное предприятие "Карбон-механика", Брестская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в номинации "Эффективный бизнес в сфере услуг":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закрытое акционерное общество "Энерго Ремонт Сервис", Могилевская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"БЕЛСОНО", г. Гомель;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"Скайвинд Тек Бай", г. Минск;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"Центр микрохирургии глаза Макарчука", г. Брест;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частное торговое унитарное предприятие "ВерасокЭлит", Минская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частное торговое унитарное предприятие "Соковик", Гродненская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частное транспортное унитарное предприятие "БЕЛАТЕКАВТО", Витебская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в номинации "Инновационно активный бизнес":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иностранное общество с ограниченной ответственностью "Лэктум Проф", г. Могилев;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"АйТиСаппортМи", г. Гомель;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"Научно-производственное объединение "Пассат", Минская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"Научно-технический центр "ДЭЛС", г. Минск;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общество с ограниченной ответственностью "Эполь Софт", г. Брест;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совместное белорусско-российское закрытое акционерное общество "ЛИПЛАСТ-СПб", Гродненская область;</w:t>
      </w:r>
    </w:p>
    <w:p w:rsidR="00D73E2F" w:rsidRDefault="00D73E2F">
      <w:pPr>
        <w:pStyle w:val="ConsPlusNormal"/>
        <w:spacing w:before="220"/>
        <w:ind w:firstLine="540"/>
        <w:jc w:val="both"/>
      </w:pPr>
      <w:r>
        <w:t>частное производственно-торговое унитарное предприятие "Витстройтехмаш", г. Витебск.</w:t>
      </w:r>
    </w:p>
    <w:p w:rsidR="00D73E2F" w:rsidRDefault="00D73E2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7"/>
      </w:tblGrid>
      <w:tr w:rsidR="00D73E2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3E2F" w:rsidRDefault="00D73E2F">
            <w:pPr>
              <w:pStyle w:val="ConsPlusNormal"/>
            </w:pPr>
            <w:r>
              <w:t>Премьер-министр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73E2F" w:rsidRDefault="00D73E2F">
            <w:pPr>
              <w:pStyle w:val="ConsPlusNormal"/>
              <w:jc w:val="right"/>
            </w:pPr>
            <w:r>
              <w:t>А.Кобяков</w:t>
            </w:r>
          </w:p>
        </w:tc>
      </w:tr>
    </w:tbl>
    <w:p w:rsidR="00D73E2F" w:rsidRDefault="00D73E2F">
      <w:pPr>
        <w:pStyle w:val="ConsPlusNormal"/>
      </w:pPr>
    </w:p>
    <w:p w:rsidR="00D73E2F" w:rsidRDefault="00D73E2F">
      <w:pPr>
        <w:pStyle w:val="ConsPlusNormal"/>
      </w:pPr>
    </w:p>
    <w:p w:rsidR="00D73E2F" w:rsidRDefault="00D73E2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40BC" w:rsidRDefault="00DE40BC">
      <w:bookmarkStart w:id="0" w:name="_GoBack"/>
      <w:bookmarkEnd w:id="0"/>
    </w:p>
    <w:sectPr w:rsidR="00DE40BC" w:rsidSect="000C55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E2F"/>
    <w:rsid w:val="00445D4E"/>
    <w:rsid w:val="00D73E2F"/>
    <w:rsid w:val="00DE40BC"/>
    <w:rsid w:val="00E94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946522-92BD-44A9-A1C7-6F46A1F07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BY" w:eastAsia="ru-BY"/>
    </w:rPr>
  </w:style>
  <w:style w:type="paragraph" w:customStyle="1" w:styleId="ConsPlusTitle">
    <w:name w:val="ConsPlusTitle"/>
    <w:rsid w:val="00D73E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BY" w:eastAsia="ru-BY"/>
    </w:rPr>
  </w:style>
  <w:style w:type="paragraph" w:customStyle="1" w:styleId="ConsPlusTitlePage">
    <w:name w:val="ConsPlusTitlePage"/>
    <w:rsid w:val="00D73E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BY" w:eastAsia="ru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Ярук А.И.</dc:creator>
  <cp:keywords/>
  <dc:description/>
  <cp:lastModifiedBy>Ярук А.И.</cp:lastModifiedBy>
  <cp:revision>1</cp:revision>
  <dcterms:created xsi:type="dcterms:W3CDTF">2020-04-02T11:21:00Z</dcterms:created>
  <dcterms:modified xsi:type="dcterms:W3CDTF">2020-04-02T11:21:00Z</dcterms:modified>
</cp:coreProperties>
</file>